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0660.xml.htm"/>
      <w:bookmarkStart w:id="1" w:name="kswkform4_17858806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Fauss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Info &amp; Tech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0"/>
        <w:gridCol w:w="894"/>
        <w:gridCol w:w="771"/>
        <w:gridCol w:w="561"/>
        <w:gridCol w:w="348"/>
        <w:gridCol w:w="1114"/>
        <w:gridCol w:w="363"/>
        <w:gridCol w:w="922"/>
        <w:gridCol w:w="1375"/>
        <w:gridCol w:w="883"/>
        <w:gridCol w:w="8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0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8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13.0973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26.4659</w:t>
            </w:r>
          </w:p>
        </w:tc>
        <w:tc>
          <w:tcPr>
            <w:tcW w:w="1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99,630.3014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266.2296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21.658</w:t>
            </w:r>
          </w:p>
        </w:tc>
        <w:tc>
          <w:tcPr>
            <w:tcW w:w="1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99,896.531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100,085.531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A Non-Cumulative Perpetual Preferred Stock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4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4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9.37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14,303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17,280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were acquired through dividend reinvestment in the First Busey Corporation Employee Stock Purchase Plan in transactions that were exempt under both Rule 16b-3(c) and Rule 16b-3(d).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were purchased through the First Busey Corporation Employee Stock Purchase Plan in transactions that were exempt under both Rule 16b-3(c) and Rule 16b-3(d).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dividend equivalent rights accrued on Restricted Stock Units in connection with the payment of a cash dividend on First Busey Corporation Common Stock. Each dividend equivalent right is the economic equivalent of one share of First Busey Corporation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485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744</Words>
  <Characters>4135</Characters>
  <CharactersWithSpaces>4748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