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UNITED STATES</w:t>
        <w:br/>
        <w:t>SECURITIES AND EXCHANGE COMMISSION</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Washington, D.C. 20549</w:t>
      </w:r>
    </w:p>
    <w:p>
      <w:pPr>
        <w:pStyle w:val="TextBody"/>
        <w:bidi w:val="0"/>
        <w:spacing w:lineRule="auto" w:line="240" w:before="200" w:after="120"/>
        <w:jc w:val="center"/>
        <w:rPr>
          <w:rFonts w:ascii="Proxima Nova;sans-serif" w:hAnsi="Proxima Nova;sans-serif"/>
          <w:b/>
          <w:color w:val="000000"/>
          <w:sz w:val="32"/>
        </w:rPr>
      </w:pPr>
      <w:r>
        <w:rPr>
          <w:rFonts w:ascii="Proxima Nova;sans-serif" w:hAnsi="Proxima Nova;sans-serif"/>
          <w:b/>
          <w:color w:val="000000"/>
          <w:sz w:val="32"/>
        </w:rPr>
        <w:t>FORM 8-K</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CURRENT REPORT</w:t>
      </w:r>
    </w:p>
    <w:p>
      <w:pPr>
        <w:pStyle w:val="TextBody"/>
        <w:bidi w:val="0"/>
        <w:spacing w:lineRule="auto" w:line="240" w:before="400" w:after="283"/>
        <w:jc w:val="center"/>
        <w:rPr>
          <w:rFonts w:ascii="Proxima Nova;sans-serif" w:hAnsi="Proxima Nova;sans-serif"/>
          <w:b/>
          <w:color w:val="000000"/>
          <w:sz w:val="20"/>
        </w:rPr>
      </w:pPr>
      <w:r>
        <w:rPr>
          <w:rFonts w:ascii="Proxima Nova;sans-serif" w:hAnsi="Proxima Nova;sans-serif"/>
          <w:b/>
          <w:color w:val="000000"/>
          <w:sz w:val="20"/>
        </w:rPr>
        <w:t>PURSUANT TO SECTION 13 OR 15(d) OF THE SECURITIES EXCHANGE ACT OF 1934</w:t>
      </w:r>
    </w:p>
    <w:p>
      <w:pPr>
        <w:pStyle w:val="TextBody"/>
        <w:bidi w:val="0"/>
        <w:spacing w:lineRule="auto" w:line="240" w:before="200" w:after="283"/>
        <w:jc w:val="center"/>
        <w:rPr>
          <w:rFonts w:ascii="Proxima Nova;sans-serif" w:hAnsi="Proxima Nova;sans-serif"/>
          <w:b w:val="false"/>
          <w:color w:val="000000"/>
          <w:sz w:val="20"/>
        </w:rPr>
      </w:pPr>
      <w:r>
        <w:rPr>
          <w:rFonts w:ascii="Proxima Nova;sans-serif" w:hAnsi="Proxima Nova;sans-serif"/>
          <w:b w:val="false"/>
          <w:color w:val="000000"/>
          <w:sz w:val="20"/>
        </w:rPr>
        <w:t>Date of Report (Date of earliest event reported): May 05, 2026</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p>
      <w:pPr>
        <w:pStyle w:val="TextBody"/>
        <w:bidi w:val="0"/>
        <w:spacing w:before="20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bookmarkStart w:id="0" w:name="i-1"/>
      <w:bookmarkEnd w:id="0"/>
    </w:p>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First Busey Corporation</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(Exact name of Registrant as specified in its charter)</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tbl>
      <w:tblPr>
        <w:tblW w:w="9359" w:type="dxa"/>
        <w:jc w:val="left"/>
        <w:tblInd w:w="0" w:type="dxa"/>
        <w:tblLayout w:type="fixed"/>
        <w:tblCellMar>
          <w:top w:w="28" w:type="dxa"/>
          <w:left w:w="28" w:type="dxa"/>
          <w:bottom w:w="28" w:type="dxa"/>
          <w:right w:w="28" w:type="dxa"/>
        </w:tblCellMar>
      </w:tblPr>
      <w:tblGrid>
        <w:gridCol w:w="812"/>
        <w:gridCol w:w="716"/>
        <w:gridCol w:w="722"/>
        <w:gridCol w:w="1261"/>
        <w:gridCol w:w="1261"/>
        <w:gridCol w:w="1273"/>
        <w:gridCol w:w="971"/>
        <w:gridCol w:w="971"/>
        <w:gridCol w:w="1372"/>
      </w:tblGrid>
      <w:tr>
        <w:trPr/>
        <w:tc>
          <w:tcPr>
            <w:tcW w:w="8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Nevada</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0-15950</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37-1078406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(State of Incorporation)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(Commission File Number)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(I.R.S. Employer Identification No.)</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11440 Tomahawk Creek Parkway</w:t>
            </w:r>
          </w:p>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Leawood, Kansas 66211</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(Address of Principal Executive Offices)</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(217) 365-4544</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(Registrant’s telephone number, including area code)</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N/A</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(Former name or former address, if changed since last report.)</w:t>
            </w:r>
          </w:p>
        </w:tc>
      </w:tr>
    </w:tbl>
    <w:p>
      <w:pPr>
        <w:pStyle w:val="TextBody"/>
        <w:bidi w:val="0"/>
        <w:spacing w:lineRule="auto" w:line="240" w:before="200" w:after="283"/>
        <w:jc w:val="both"/>
        <w:rPr>
          <w:rFonts w:ascii="Proxima Nova;sans-serif" w:hAnsi="Proxima Nova;sans-serif"/>
          <w:b w:val="false"/>
          <w:color w:val="000000"/>
          <w:sz w:val="20"/>
        </w:rPr>
      </w:pPr>
      <w:r>
        <w:rPr>
          <w:rFonts w:ascii="Proxima Nova;sans-serif" w:hAnsi="Proxima Nova;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9"/>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Written communications pursuant to Rule 425 under the Securities Act (17 CFR 230.425)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Soliciting material pursuant to Rule 14a-12 under the Exchange Act (17 CFR 240.14a-12)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14d-2(b) under the Exchange Act (17 CFR 240.14d-2(b))</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13e-4(c) under the Exchange Act (17 CFR 240.13e-4(c))</w:t>
            </w:r>
          </w:p>
        </w:tc>
      </w:tr>
    </w:tbl>
    <w:p>
      <w:pPr>
        <w:pStyle w:val="TextBody"/>
        <w:bidi w:val="0"/>
        <w:spacing w:lineRule="auto" w:line="288" w:before="200" w:after="283"/>
        <w:jc w:val="both"/>
        <w:rPr>
          <w:rFonts w:ascii="Proxima Nova;sans-serif" w:hAnsi="Proxima Nova;sans-serif"/>
          <w:b/>
          <w:color w:val="000000"/>
          <w:sz w:val="20"/>
        </w:rPr>
      </w:pPr>
      <w:r>
        <w:rPr>
          <w:rFonts w:ascii="Proxima Nova;sans-serif" w:hAnsi="Proxima Nova;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73"/>
        <w:gridCol w:w="1733"/>
        <w:gridCol w:w="1670"/>
        <w:gridCol w:w="109"/>
        <w:gridCol w:w="109"/>
        <w:gridCol w:w="109"/>
        <w:gridCol w:w="422"/>
        <w:gridCol w:w="422"/>
        <w:gridCol w:w="424"/>
        <w:gridCol w:w="109"/>
        <w:gridCol w:w="109"/>
        <w:gridCol w:w="109"/>
        <w:gridCol w:w="674"/>
        <w:gridCol w:w="674"/>
        <w:gridCol w:w="959"/>
      </w:tblGrid>
      <w:tr>
        <w:trPr/>
        <w:tc>
          <w:tcPr>
            <w:tcW w:w="25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8"/>
              </w:rPr>
            </w:pPr>
            <w:r>
              <w:rPr>
                <w:rFonts w:ascii="Proxima Nova;sans-serif" w:hAnsi="Proxima Nova;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Name of each exchange on which registered</w:t>
            </w:r>
          </w:p>
        </w:tc>
      </w:tr>
      <w:tr>
        <w:trPr/>
        <w:tc>
          <w:tcPr>
            <w:tcW w:w="5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Depositary Shares, each representing a 1/40th interest in a share of 8.25% Fixed-Rate Series B Non-Cumulative Perpetual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bl>
    <w:p>
      <w:pPr>
        <w:pStyle w:val="TextBody"/>
        <w:bidi w:val="0"/>
        <w:spacing w:lineRule="auto" w:line="240" w:before="200" w:after="283"/>
        <w:jc w:val="both"/>
        <w:rPr/>
      </w:pPr>
      <w:r>
        <w:rPr>
          <w:rFonts w:ascii="Proxima Nova;sans-serif" w:hAnsi="Proxima Nova;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40" w:before="200" w:after="200"/>
        <w:jc w:val="both"/>
        <w:rPr/>
      </w:pPr>
      <w:r>
        <w:rPr>
          <w:rFonts w:ascii="Proxima Nova;sans-serif" w:hAnsi="Proxima Nov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Item 8.01    Other Events.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May 5, 2026, First Busey Corporation declared a quarterly cash dividend of $0.515625 per depositary share on its 8.25% Fixed-Rate Series B Non-Cumulative Perpetual Preferred Stock. The dividend is payable on June 1, 2026, to stockholders of record as of May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Signature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Exchange Act of 1934, the Registrant has duly caused this report to be signed on its behalf by the undersigned, thereunto duly authorized.</w:t>
      </w:r>
    </w:p>
    <w:tbl>
      <w:tblPr>
        <w:tblW w:w="7330" w:type="dxa"/>
        <w:jc w:val="left"/>
        <w:tblInd w:w="0" w:type="dxa"/>
        <w:tblLayout w:type="fixed"/>
        <w:tblCellMar>
          <w:top w:w="28" w:type="dxa"/>
          <w:left w:w="28" w:type="dxa"/>
          <w:bottom w:w="28" w:type="dxa"/>
          <w:right w:w="28" w:type="dxa"/>
        </w:tblCellMar>
      </w:tblPr>
      <w:tblGrid>
        <w:gridCol w:w="233"/>
        <w:gridCol w:w="205"/>
        <w:gridCol w:w="207"/>
        <w:gridCol w:w="429"/>
        <w:gridCol w:w="429"/>
        <w:gridCol w:w="431"/>
        <w:gridCol w:w="109"/>
        <w:gridCol w:w="109"/>
        <w:gridCol w:w="109"/>
        <w:gridCol w:w="139"/>
        <w:gridCol w:w="139"/>
        <w:gridCol w:w="141"/>
        <w:gridCol w:w="970"/>
        <w:gridCol w:w="970"/>
        <w:gridCol w:w="970"/>
        <w:gridCol w:w="509"/>
        <w:gridCol w:w="509"/>
        <w:gridCol w:w="72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color w:val="000000"/>
                <w:sz w:val="20"/>
              </w:rPr>
            </w:pPr>
            <w:r>
              <w:rPr>
                <w:rFonts w:ascii="Proxima Nova;sans-serif" w:hAnsi="Proxima Nova;sans-serif"/>
                <w:b/>
                <w:color w:val="000000"/>
                <w:sz w:val="20"/>
              </w:rPr>
              <w:t>FIRST BUSEY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910" w:type="dxa"/>
            <w:gridSpan w:val="3"/>
            <w:vMerge w:val="continue"/>
            <w:tcBorders/>
            <w:tcMar>
              <w:top w:w="0" w:type="dxa"/>
              <w:left w:w="0" w:type="dxa"/>
              <w:bottom w:w="0" w:type="dxa"/>
              <w:right w:w="0" w:type="dxa"/>
            </w:tcMar>
            <w:vAlign w:val="center"/>
          </w:tcPr>
          <w:p>
            <w:pPr>
              <w:pStyle w:val="Normal"/>
              <w:bidi w:val="0"/>
              <w:jc w:val="left"/>
              <w:rPr/>
            </w:pPr>
            <w:r>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2260"/>
                <wp:effectExtent l="0" t="0" r="0" b="0"/>
                <wp:wrapNone/>
                <wp:docPr id="4"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419</Words>
  <Characters>2370</Characters>
  <CharactersWithSpaces>2737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