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9418.xml.htm"/>
      <w:bookmarkStart w:id="1" w:name="kswkform4_17858794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Brenneman Rod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11440 TOMAHAWK CREEK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BUSEY CORP /NV/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BUSE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6"/>
        <w:gridCol w:w="922"/>
        <w:gridCol w:w="792"/>
        <w:gridCol w:w="612"/>
        <w:gridCol w:w="337"/>
        <w:gridCol w:w="750"/>
        <w:gridCol w:w="411"/>
        <w:gridCol w:w="579"/>
        <w:gridCol w:w="1100"/>
        <w:gridCol w:w="955"/>
        <w:gridCol w:w="126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7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32,789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136,639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Brenneman Living Trust Dated November 2, 2012</w:t>
            </w:r>
          </w:p>
        </w:tc>
      </w:tr>
      <w:tr>
        <w:trPr/>
        <w:tc>
          <w:tcPr>
            <w:tcW w:w="24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A Non-Cumulative Perpetual Preferred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Brenneman Living Trust Dated November 2, 2012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accrued on Deferred Stock Units in connection with the payment of a cash dividend on First Busey Corporation Common Stock. Each dividend equivalent right is the economic equivalent of one share of First Busey Corporation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Catherine Alqallaf,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5250" TargetMode="External"/><Relationship Id="rId5" Type="http://schemas.openxmlformats.org/officeDocument/2006/relationships/hyperlink" Target="http://www.sec.gov/cgi-bin/browse-edgar?action=getcompany&amp;CIK=00003144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3441</Characters>
  <CharactersWithSpaces>3995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