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879758.xml.htm"/>
      <w:bookmarkStart w:id="1" w:name="kswkform4_178587975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KENNEY FREDERIC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11440 TOMAHAWK CREEK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LEAWOOD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66211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FIRST BUSEY CORP /NV/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BUSE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63"/>
        <w:gridCol w:w="945"/>
        <w:gridCol w:w="812"/>
        <w:gridCol w:w="628"/>
        <w:gridCol w:w="350"/>
        <w:gridCol w:w="785"/>
        <w:gridCol w:w="434"/>
        <w:gridCol w:w="606"/>
        <w:gridCol w:w="1149"/>
        <w:gridCol w:w="995"/>
        <w:gridCol w:w="143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6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7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2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43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6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3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74,701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38,788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Testamentary Trust f/b/o Geoffrey S. Dickes</w:t>
            </w:r>
          </w:p>
        </w:tc>
      </w:tr>
      <w:tr>
        <w:trPr/>
        <w:tc>
          <w:tcPr>
            <w:tcW w:w="206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55,137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dividend equivalent rights accrued on Deferred Stock Units in connection with the payment of a cash dividend on First Busey Corporation Common Stock. Each dividend equivalent right is the economic equivalent of one share of First Busey Corporation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Catherine Alqallaf,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31393" TargetMode="External"/><Relationship Id="rId5" Type="http://schemas.openxmlformats.org/officeDocument/2006/relationships/hyperlink" Target="http://www.sec.gov/cgi-bin/browse-edgar?action=getcompany&amp;CIK=00003144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619</Words>
  <Characters>3380</Characters>
  <CharactersWithSpaces>3924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